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:rsidR="00CC07A8" w:rsidRDefault="005A0CE0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«Кавалерское сельское поселение</w:t>
      </w:r>
      <w:r w:rsidR="00CC07A8"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5A0CE0">
        <w:rPr>
          <w:szCs w:val="28"/>
        </w:rPr>
        <w:t xml:space="preserve"> 2023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09.11.2005г.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14081 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4"/>
        <w:gridCol w:w="2251"/>
        <w:gridCol w:w="2328"/>
        <w:gridCol w:w="2342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5A0CE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Кавалерский</w:t>
            </w:r>
          </w:p>
        </w:tc>
        <w:tc>
          <w:tcPr>
            <w:tcW w:w="2256" w:type="dxa"/>
          </w:tcPr>
          <w:p w:rsidR="005A0CE0" w:rsidRDefault="005A0CE0" w:rsidP="005A0CE0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A212C0">
              <w:rPr>
                <w:sz w:val="24"/>
                <w:szCs w:val="24"/>
              </w:rPr>
              <w:t>Хаустов Дмитрий Геннадьевич</w:t>
            </w:r>
            <w:r>
              <w:rPr>
                <w:sz w:val="24"/>
                <w:szCs w:val="24"/>
              </w:rPr>
              <w:t>,</w:t>
            </w:r>
          </w:p>
          <w:p w:rsidR="005A0CE0" w:rsidRPr="002736F6" w:rsidRDefault="005A0CE0" w:rsidP="005A0CE0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2736F6">
              <w:rPr>
                <w:sz w:val="24"/>
                <w:szCs w:val="24"/>
              </w:rPr>
              <w:t xml:space="preserve">8(86370) 24-1-31 </w:t>
            </w:r>
          </w:p>
          <w:p w:rsidR="005A0CE0" w:rsidRDefault="005A0CE0" w:rsidP="005A0CE0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2736F6">
              <w:rPr>
                <w:sz w:val="24"/>
                <w:szCs w:val="24"/>
              </w:rPr>
              <w:t>89281655543</w:t>
            </w:r>
          </w:p>
          <w:p w:rsidR="005A0CE0" w:rsidRDefault="005A0CE0" w:rsidP="005A0CE0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661D2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A0782E">
              <w:rPr>
                <w:sz w:val="24"/>
                <w:szCs w:val="24"/>
              </w:rPr>
              <w:t>10110@</w:t>
            </w:r>
            <w:proofErr w:type="spellStart"/>
            <w:r w:rsidRPr="000661D2"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A0782E">
              <w:rPr>
                <w:sz w:val="24"/>
                <w:szCs w:val="24"/>
              </w:rPr>
              <w:t>.</w:t>
            </w:r>
            <w:r w:rsidRPr="000661D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387" w:type="dxa"/>
          </w:tcPr>
          <w:p w:rsidR="00ED4D29" w:rsidRDefault="00AE6896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ED4D29" w:rsidRDefault="00AE6896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ED4D29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ED4D29" w:rsidRDefault="005A0CE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Березовский</w:t>
            </w:r>
          </w:p>
        </w:tc>
        <w:tc>
          <w:tcPr>
            <w:tcW w:w="2256" w:type="dxa"/>
          </w:tcPr>
          <w:p w:rsidR="00ED4D29" w:rsidRDefault="005A0CE0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12C0">
              <w:rPr>
                <w:sz w:val="24"/>
                <w:szCs w:val="24"/>
              </w:rPr>
              <w:t>Хаустов Дмитрий Геннадьевич</w:t>
            </w:r>
          </w:p>
        </w:tc>
        <w:tc>
          <w:tcPr>
            <w:tcW w:w="2387" w:type="dxa"/>
          </w:tcPr>
          <w:p w:rsidR="00ED4D29" w:rsidRDefault="00AE6896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ED4D29" w:rsidRDefault="00AE6896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70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312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312C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70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312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312C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70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312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12CC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CC" w:rsidRDefault="00D312C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CC" w:rsidRDefault="006E70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CC" w:rsidRDefault="00D312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CC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52692A" w:rsidP="000662AB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52692A" w:rsidP="000662AB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52692A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269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7"/>
        <w:gridCol w:w="2698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78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61"/>
        <w:gridCol w:w="1484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578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9"/>
        <w:gridCol w:w="490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6"/>
        <w:gridCol w:w="44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5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A0C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51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08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3"/>
        <w:gridCol w:w="452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E6B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4513EB" w:rsidRPr="007E31E6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584EC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3095"/>
        <w:gridCol w:w="2028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DE629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lastRenderedPageBreak/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7E31E6" w:rsidRDefault="00B008B9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7"/>
        <w:gridCol w:w="4628"/>
      </w:tblGrid>
      <w:tr w:rsidR="003547A7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8" w:rsidRDefault="009056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905638">
              <w:rPr>
                <w:sz w:val="22"/>
              </w:rPr>
              <w:t>Мероприятия по патр</w:t>
            </w:r>
            <w:r>
              <w:rPr>
                <w:sz w:val="22"/>
              </w:rPr>
              <w:t>иотическому воспитанию населения,</w:t>
            </w:r>
          </w:p>
          <w:p w:rsidR="00905638" w:rsidRPr="00905638" w:rsidRDefault="009056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32 мероприятия.</w:t>
            </w:r>
          </w:p>
        </w:tc>
      </w:tr>
      <w:tr w:rsidR="00AE50D7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9" w:rsidRDefault="00DE6299" w:rsidP="00DE629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50D7" w:rsidRDefault="00DE6299" w:rsidP="00DE62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E6299" w:rsidRDefault="00DE6299" w:rsidP="00DE629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rPr>
                <w:sz w:val="22"/>
                <w:shd w:val="clear" w:color="auto" w:fill="FFFFFF"/>
              </w:rPr>
            </w:pPr>
            <w:r w:rsidRPr="00B21EB8">
              <w:rPr>
                <w:sz w:val="22"/>
                <w:shd w:val="clear" w:color="auto" w:fill="FFFFFF"/>
              </w:rPr>
              <w:t>к 80-летию освобождения Егорлыкского района. Час истории с подростками и молодёжью "В боях за станицу родную"</w:t>
            </w:r>
            <w:r>
              <w:rPr>
                <w:sz w:val="22"/>
                <w:shd w:val="clear" w:color="auto" w:fill="FFFFFF"/>
              </w:rPr>
              <w:t>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историко-патриотический час "900 блокадных дней" с молодёжью и подростками, посвящённый полному снятию блокады Ленинграда,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открытие Года, посвящённого атаману Платову. Час истории с молодёжью и подростками (с выставкой-досье) "Легенда Дона - атаман Платов",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proofErr w:type="spellStart"/>
            <w:r w:rsidRPr="00905638">
              <w:rPr>
                <w:sz w:val="22"/>
                <w:shd w:val="clear" w:color="auto" w:fill="FFFFFF"/>
              </w:rPr>
              <w:t>информ</w:t>
            </w:r>
            <w:proofErr w:type="spellEnd"/>
            <w:r w:rsidRPr="00905638">
              <w:rPr>
                <w:sz w:val="22"/>
                <w:shd w:val="clear" w:color="auto" w:fill="FFFFFF"/>
              </w:rPr>
              <w:t>-выставка "Завтра начинается сегодня" (в рамках месячника молодого избирателя) для молодежи и подростков,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Час истории для молодёжи и подростков "Мы вместе - Россия и Крым! ", посвящённый 9-й годовщине воссоединения Крыма и России,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концерт, посвященный Дню защитника Отечества "Долг. Честь. Родина!",</w:t>
            </w:r>
          </w:p>
          <w:p w:rsidR="00B21EB8" w:rsidRPr="00905638" w:rsidRDefault="00B21EB8" w:rsidP="00B21EB8">
            <w:pPr>
              <w:rPr>
                <w:color w:val="333333"/>
                <w:sz w:val="22"/>
                <w:shd w:val="clear" w:color="auto" w:fill="FFFFFF"/>
              </w:rPr>
            </w:pPr>
            <w:r w:rsidRPr="00905638">
              <w:rPr>
                <w:color w:val="333333"/>
                <w:sz w:val="22"/>
                <w:shd w:val="clear" w:color="auto" w:fill="FFFFFF"/>
              </w:rPr>
              <w:t xml:space="preserve">патриотический час памяти с </w:t>
            </w:r>
            <w:proofErr w:type="gramStart"/>
            <w:r w:rsidRPr="00905638">
              <w:rPr>
                <w:color w:val="333333"/>
                <w:sz w:val="22"/>
                <w:shd w:val="clear" w:color="auto" w:fill="FFFFFF"/>
              </w:rPr>
              <w:t>детьми  ко</w:t>
            </w:r>
            <w:proofErr w:type="gramEnd"/>
            <w:r w:rsidRPr="00905638">
              <w:rPr>
                <w:color w:val="333333"/>
                <w:sz w:val="22"/>
                <w:shd w:val="clear" w:color="auto" w:fill="FFFFFF"/>
              </w:rPr>
              <w:t xml:space="preserve"> Дню Победы «Никто не забыт и ничто не забыто»,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митинг "Памяти павших",</w:t>
            </w:r>
          </w:p>
          <w:p w:rsidR="00B21EB8" w:rsidRPr="00905638" w:rsidRDefault="00B21EB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праздничный концерт «Помним! Гордимся!»</w:t>
            </w:r>
            <w:r w:rsidR="00905638" w:rsidRPr="00905638">
              <w:rPr>
                <w:sz w:val="22"/>
                <w:shd w:val="clear" w:color="auto" w:fill="FFFFFF"/>
              </w:rPr>
              <w:t>,</w:t>
            </w:r>
          </w:p>
          <w:p w:rsidR="00905638" w:rsidRPr="00905638" w:rsidRDefault="0090563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  <w:shd w:val="clear" w:color="auto" w:fill="FFFFFF"/>
              </w:rPr>
              <w:t>концертная программа, посвящённая Дню России "Люблю тебя, моя Россия! ",</w:t>
            </w:r>
          </w:p>
          <w:p w:rsidR="00905638" w:rsidRPr="00905638" w:rsidRDefault="00905638" w:rsidP="00B21EB8">
            <w:pPr>
              <w:rPr>
                <w:rFonts w:eastAsia="Times New Roman"/>
                <w:sz w:val="22"/>
                <w:lang w:eastAsia="ru-RU"/>
              </w:rPr>
            </w:pPr>
            <w:r w:rsidRPr="00905638">
              <w:rPr>
                <w:rFonts w:eastAsia="Times New Roman"/>
                <w:sz w:val="22"/>
                <w:lang w:eastAsia="ru-RU"/>
              </w:rPr>
              <w:t>Познавательно-игровая программа для ребят школьной площадки и лагеря "Наш дом - Россия!", посвященная Дню России,</w:t>
            </w:r>
          </w:p>
          <w:p w:rsidR="00905638" w:rsidRPr="00905638" w:rsidRDefault="00905638" w:rsidP="00B21EB8">
            <w:pPr>
              <w:rPr>
                <w:sz w:val="22"/>
              </w:rPr>
            </w:pPr>
            <w:r w:rsidRPr="00905638">
              <w:rPr>
                <w:sz w:val="22"/>
              </w:rPr>
              <w:lastRenderedPageBreak/>
              <w:t>Акция «Свеча памяти» с клубом «Хуторянка»,</w:t>
            </w:r>
          </w:p>
          <w:p w:rsidR="00905638" w:rsidRPr="00905638" w:rsidRDefault="00905638" w:rsidP="00B21EB8">
            <w:pPr>
              <w:rPr>
                <w:sz w:val="22"/>
                <w:shd w:val="clear" w:color="auto" w:fill="FFFFFF"/>
              </w:rPr>
            </w:pPr>
            <w:r w:rsidRPr="00905638">
              <w:rPr>
                <w:sz w:val="22"/>
              </w:rPr>
              <w:t xml:space="preserve">Патриотический час памяти с детьми </w:t>
            </w:r>
            <w:r w:rsidRPr="00905638">
              <w:rPr>
                <w:sz w:val="22"/>
                <w:shd w:val="clear" w:color="auto" w:fill="FFFFFF"/>
              </w:rPr>
              <w:t>"Тот самый страшный день в году" с просмотром фильма о ВОВ и обсуждением,</w:t>
            </w:r>
          </w:p>
          <w:p w:rsidR="00905638" w:rsidRPr="00905638" w:rsidRDefault="00905638" w:rsidP="00B21EB8">
            <w:pPr>
              <w:rPr>
                <w:noProof/>
                <w:sz w:val="22"/>
                <w:lang w:eastAsia="ru-RU"/>
              </w:rPr>
            </w:pPr>
            <w:r w:rsidRPr="00905638">
              <w:rPr>
                <w:noProof/>
                <w:sz w:val="22"/>
                <w:lang w:eastAsia="ru-RU"/>
              </w:rPr>
              <w:t>патриотический митинг  «Свечи памяти» в День памяти и скорби,</w:t>
            </w:r>
          </w:p>
          <w:p w:rsidR="00905638" w:rsidRPr="00905638" w:rsidRDefault="00905638" w:rsidP="00B21EB8">
            <w:pPr>
              <w:rPr>
                <w:color w:val="000000"/>
                <w:sz w:val="22"/>
                <w:shd w:val="clear" w:color="auto" w:fill="FFFFFF"/>
              </w:rPr>
            </w:pPr>
            <w:r w:rsidRPr="00905638">
              <w:rPr>
                <w:color w:val="000000"/>
                <w:sz w:val="22"/>
                <w:shd w:val="clear" w:color="auto" w:fill="FFFFFF"/>
              </w:rPr>
              <w:t>беседа с молодёжью об избирательных правах "Я выбираю будущее! ". С раздачей тематических буклетов,</w:t>
            </w:r>
          </w:p>
          <w:p w:rsidR="00905638" w:rsidRPr="00905638" w:rsidRDefault="00905638" w:rsidP="00B21EB8">
            <w:pPr>
              <w:rPr>
                <w:color w:val="000000"/>
                <w:sz w:val="22"/>
                <w:shd w:val="clear" w:color="auto" w:fill="FFFFFF"/>
              </w:rPr>
            </w:pPr>
            <w:r w:rsidRPr="00905638">
              <w:rPr>
                <w:color w:val="000000"/>
                <w:sz w:val="22"/>
                <w:shd w:val="clear" w:color="auto" w:fill="FFFFFF"/>
              </w:rPr>
              <w:t>патриотический час с молодёжью и подростками "Им журавлями плыть по небу...", посвященный памяти погибших защитников Родины (в рамках Дня белых журавлей),</w:t>
            </w:r>
          </w:p>
          <w:p w:rsidR="00905638" w:rsidRPr="00905638" w:rsidRDefault="00905638" w:rsidP="00B21EB8">
            <w:pPr>
              <w:rPr>
                <w:sz w:val="22"/>
              </w:rPr>
            </w:pPr>
            <w:r w:rsidRPr="00905638">
              <w:rPr>
                <w:sz w:val="22"/>
              </w:rPr>
              <w:t>Праздничный концерт «Мы вместе»,</w:t>
            </w:r>
          </w:p>
          <w:p w:rsidR="00905638" w:rsidRPr="00905638" w:rsidRDefault="00905638" w:rsidP="00B21EB8">
            <w:pPr>
              <w:rPr>
                <w:sz w:val="22"/>
              </w:rPr>
            </w:pPr>
            <w:r w:rsidRPr="00905638">
              <w:rPr>
                <w:sz w:val="22"/>
              </w:rPr>
              <w:t>Час истории для молодёжи и подростков "Нюрнбергский процесс,</w:t>
            </w:r>
          </w:p>
          <w:p w:rsidR="00905638" w:rsidRPr="00905638" w:rsidRDefault="00905638" w:rsidP="00B21EB8">
            <w:pPr>
              <w:rPr>
                <w:color w:val="000000"/>
                <w:sz w:val="22"/>
                <w:shd w:val="clear" w:color="auto" w:fill="FFFFFF"/>
              </w:rPr>
            </w:pPr>
            <w:r w:rsidRPr="00905638">
              <w:rPr>
                <w:color w:val="000000"/>
                <w:sz w:val="22"/>
                <w:shd w:val="clear" w:color="auto" w:fill="FFFFFF"/>
              </w:rPr>
              <w:t>акция памяти "Минувших дней святая память,</w:t>
            </w:r>
          </w:p>
          <w:p w:rsidR="00905638" w:rsidRPr="00905638" w:rsidRDefault="00905638" w:rsidP="00B21EB8">
            <w:pPr>
              <w:rPr>
                <w:color w:val="000000"/>
                <w:sz w:val="22"/>
                <w:shd w:val="clear" w:color="auto" w:fill="FFFFFF"/>
              </w:rPr>
            </w:pPr>
            <w:r w:rsidRPr="00905638">
              <w:rPr>
                <w:color w:val="000000"/>
                <w:sz w:val="22"/>
                <w:shd w:val="clear" w:color="auto" w:fill="FFFFFF"/>
              </w:rPr>
              <w:t>акция памяти "Живут герои в памяти народа».</w:t>
            </w:r>
          </w:p>
          <w:p w:rsidR="00905638" w:rsidRPr="00905638" w:rsidRDefault="00905638" w:rsidP="00B21EB8">
            <w:pPr>
              <w:rPr>
                <w:sz w:val="22"/>
                <w:shd w:val="clear" w:color="auto" w:fill="FFFFFF"/>
              </w:rPr>
            </w:pPr>
          </w:p>
          <w:p w:rsidR="00905638" w:rsidRPr="00B21EB8" w:rsidRDefault="00905638" w:rsidP="00B21EB8">
            <w:pPr>
              <w:rPr>
                <w:sz w:val="22"/>
              </w:rPr>
            </w:pP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lastRenderedPageBreak/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90563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05638" w:rsidRDefault="00905638" w:rsidP="009056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Pr="00DE6299" w:rsidRDefault="00B21EB8" w:rsidP="00B21EB8">
            <w:pPr>
              <w:ind w:firstLine="0"/>
              <w:rPr>
                <w:sz w:val="24"/>
                <w:szCs w:val="24"/>
              </w:rPr>
            </w:pPr>
            <w:r w:rsidRPr="00DE6299">
              <w:rPr>
                <w:sz w:val="24"/>
                <w:szCs w:val="24"/>
                <w:shd w:val="clear" w:color="auto" w:fill="FFFFFF"/>
              </w:rPr>
              <w:t>час-реквием с молодёжью и подростками "Беслан" - трагедия людей», посвященный Дню солидарности в борьбе с терроризмом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Pr="00336844" w:rsidRDefault="00B21EB8" w:rsidP="00B21EB8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Pr="00336844" w:rsidRDefault="00B21EB8" w:rsidP="00B21EB8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lastRenderedPageBreak/>
              <w:t xml:space="preserve">Число участников социальных и бытовых конфликтов с этническим компонентом </w:t>
            </w:r>
            <w:r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1EB8" w:rsidTr="00B21EB8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B8" w:rsidRDefault="00B21EB8" w:rsidP="00B21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8" w:rsidRDefault="00B21EB8" w:rsidP="00B21E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3547A7" w:rsidRPr="003547A7" w:rsidTr="00AB0677">
        <w:tc>
          <w:tcPr>
            <w:tcW w:w="4682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663" w:type="dxa"/>
          </w:tcPr>
          <w:p w:rsidR="003547A7" w:rsidRPr="00AB0677" w:rsidRDefault="00AB0677" w:rsidP="00AB067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AB0677">
              <w:rPr>
                <w:sz w:val="22"/>
              </w:rPr>
              <w:t>Малый совет по гармонизации межэтнических отношений при администрации Кавалерского сельского поселения в Кавалерском сельском поселении.</w:t>
            </w:r>
          </w:p>
          <w:p w:rsidR="00AB0677" w:rsidRPr="003547A7" w:rsidRDefault="00AB0677" w:rsidP="00AB0677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2"/>
              </w:rPr>
              <w:t xml:space="preserve">         </w:t>
            </w:r>
            <w:r w:rsidRPr="00AB0677">
              <w:rPr>
                <w:sz w:val="22"/>
              </w:rPr>
              <w:t>№ 13 от 09 марта 2021 г.</w:t>
            </w:r>
          </w:p>
        </w:tc>
      </w:tr>
      <w:tr w:rsidR="003547A7" w:rsidRPr="003547A7" w:rsidTr="00AB0677">
        <w:tc>
          <w:tcPr>
            <w:tcW w:w="4682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663" w:type="dxa"/>
          </w:tcPr>
          <w:p w:rsidR="003547A7" w:rsidRPr="003547A7" w:rsidRDefault="00AB0677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2"/>
              </w:rPr>
              <w:t xml:space="preserve">         № 22 от 28 декабря</w:t>
            </w:r>
            <w:r w:rsidRPr="00AB0677">
              <w:rPr>
                <w:sz w:val="22"/>
              </w:rPr>
              <w:t xml:space="preserve"> 2021 г.</w:t>
            </w:r>
          </w:p>
        </w:tc>
      </w:tr>
      <w:tr w:rsidR="003547A7" w:rsidRPr="003547A7" w:rsidTr="00AB0677">
        <w:tc>
          <w:tcPr>
            <w:tcW w:w="4682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663" w:type="dxa"/>
          </w:tcPr>
          <w:p w:rsidR="003547A7" w:rsidRPr="003547A7" w:rsidRDefault="00AB067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AB0677" w:rsidRPr="003547A7" w:rsidTr="00AB0677">
        <w:tc>
          <w:tcPr>
            <w:tcW w:w="4682" w:type="dxa"/>
          </w:tcPr>
          <w:p w:rsidR="00AB0677" w:rsidRPr="003547A7" w:rsidRDefault="00AB0677" w:rsidP="00AB06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63" w:type="dxa"/>
          </w:tcPr>
          <w:p w:rsidR="00AB0677" w:rsidRDefault="00AB0677" w:rsidP="00AB06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AB0677" w:rsidRDefault="00AB0677" w:rsidP="00AB0677">
            <w:pPr>
              <w:ind w:firstLine="0"/>
              <w:jc w:val="center"/>
              <w:rPr>
                <w:sz w:val="22"/>
              </w:rPr>
            </w:pPr>
          </w:p>
          <w:p w:rsidR="00AB0677" w:rsidRPr="003547A7" w:rsidRDefault="00AB0677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2"/>
              </w:rPr>
              <w:t xml:space="preserve">  № 22 от 28 декабря</w:t>
            </w:r>
            <w:r w:rsidRPr="00AB0677">
              <w:rPr>
                <w:sz w:val="22"/>
              </w:rPr>
              <w:t xml:space="preserve"> 2021 г.</w:t>
            </w:r>
          </w:p>
        </w:tc>
      </w:tr>
      <w:tr w:rsidR="00AB0677" w:rsidRPr="003547A7" w:rsidTr="00AB0677">
        <w:tc>
          <w:tcPr>
            <w:tcW w:w="4682" w:type="dxa"/>
          </w:tcPr>
          <w:p w:rsidR="00AB0677" w:rsidRPr="003547A7" w:rsidRDefault="00AB0677" w:rsidP="00AB06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663" w:type="dxa"/>
          </w:tcPr>
          <w:p w:rsidR="00AB0677" w:rsidRPr="003547A7" w:rsidRDefault="00540770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AB0677" w:rsidRPr="003547A7" w:rsidTr="00AB0677">
        <w:tc>
          <w:tcPr>
            <w:tcW w:w="4682" w:type="dxa"/>
          </w:tcPr>
          <w:p w:rsidR="00AB0677" w:rsidRPr="003547A7" w:rsidRDefault="00AB0677" w:rsidP="00AB06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663" w:type="dxa"/>
          </w:tcPr>
          <w:p w:rsidR="00AB0677" w:rsidRDefault="00AB0677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B0677" w:rsidRPr="003547A7" w:rsidRDefault="00AB0677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AB0677" w:rsidRPr="003547A7" w:rsidTr="00AB0677">
        <w:tc>
          <w:tcPr>
            <w:tcW w:w="4682" w:type="dxa"/>
          </w:tcPr>
          <w:p w:rsidR="00AB0677" w:rsidRPr="003547A7" w:rsidRDefault="00AB0677" w:rsidP="00AB067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663" w:type="dxa"/>
          </w:tcPr>
          <w:p w:rsidR="00540770" w:rsidRDefault="00540770" w:rsidP="00AB067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B0677" w:rsidRPr="003547A7" w:rsidRDefault="00540770" w:rsidP="005407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41" w:rsidRDefault="00E21241" w:rsidP="00AE50D7">
      <w:r>
        <w:separator/>
      </w:r>
    </w:p>
  </w:endnote>
  <w:endnote w:type="continuationSeparator" w:id="0">
    <w:p w:rsidR="00E21241" w:rsidRDefault="00E21241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41" w:rsidRDefault="00E21241" w:rsidP="00AE50D7">
      <w:r>
        <w:separator/>
      </w:r>
    </w:p>
  </w:footnote>
  <w:footnote w:type="continuationSeparator" w:id="0">
    <w:p w:rsidR="00E21241" w:rsidRDefault="00E21241" w:rsidP="00AE50D7">
      <w:r>
        <w:continuationSeparator/>
      </w:r>
    </w:p>
  </w:footnote>
  <w:footnote w:id="1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6E7007" w:rsidRDefault="006E7007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6E7007" w:rsidRDefault="006E700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62AB"/>
    <w:rsid w:val="0007771F"/>
    <w:rsid w:val="000F06C2"/>
    <w:rsid w:val="001E3A17"/>
    <w:rsid w:val="002C1462"/>
    <w:rsid w:val="00336844"/>
    <w:rsid w:val="00337E92"/>
    <w:rsid w:val="003547A7"/>
    <w:rsid w:val="00357A4E"/>
    <w:rsid w:val="00381B1B"/>
    <w:rsid w:val="003A3FC5"/>
    <w:rsid w:val="004131DA"/>
    <w:rsid w:val="00423E43"/>
    <w:rsid w:val="004513EB"/>
    <w:rsid w:val="004A62D2"/>
    <w:rsid w:val="0052692A"/>
    <w:rsid w:val="00540770"/>
    <w:rsid w:val="0055784F"/>
    <w:rsid w:val="00584EC4"/>
    <w:rsid w:val="00592937"/>
    <w:rsid w:val="005A0CE0"/>
    <w:rsid w:val="005D645C"/>
    <w:rsid w:val="006138F3"/>
    <w:rsid w:val="00626A25"/>
    <w:rsid w:val="006610D8"/>
    <w:rsid w:val="00670793"/>
    <w:rsid w:val="00681F55"/>
    <w:rsid w:val="00690C64"/>
    <w:rsid w:val="006E7007"/>
    <w:rsid w:val="00704CA0"/>
    <w:rsid w:val="00766144"/>
    <w:rsid w:val="00771792"/>
    <w:rsid w:val="007E31E6"/>
    <w:rsid w:val="007F0646"/>
    <w:rsid w:val="008062A6"/>
    <w:rsid w:val="00837E58"/>
    <w:rsid w:val="00876F2F"/>
    <w:rsid w:val="008E600C"/>
    <w:rsid w:val="00905638"/>
    <w:rsid w:val="00960618"/>
    <w:rsid w:val="00A0782E"/>
    <w:rsid w:val="00A35B20"/>
    <w:rsid w:val="00A84DB2"/>
    <w:rsid w:val="00A968C3"/>
    <w:rsid w:val="00AB0677"/>
    <w:rsid w:val="00AE50D7"/>
    <w:rsid w:val="00AE6896"/>
    <w:rsid w:val="00B008B9"/>
    <w:rsid w:val="00B21EB8"/>
    <w:rsid w:val="00B4687E"/>
    <w:rsid w:val="00B9651F"/>
    <w:rsid w:val="00C8588C"/>
    <w:rsid w:val="00CB0B4F"/>
    <w:rsid w:val="00CC07A8"/>
    <w:rsid w:val="00D15895"/>
    <w:rsid w:val="00D312CC"/>
    <w:rsid w:val="00D412F5"/>
    <w:rsid w:val="00DB10C1"/>
    <w:rsid w:val="00DE6299"/>
    <w:rsid w:val="00E10A84"/>
    <w:rsid w:val="00E21241"/>
    <w:rsid w:val="00E45A99"/>
    <w:rsid w:val="00E533D0"/>
    <w:rsid w:val="00E77DBC"/>
    <w:rsid w:val="00ED4D29"/>
    <w:rsid w:val="00F06809"/>
    <w:rsid w:val="00F1102B"/>
    <w:rsid w:val="00F25759"/>
    <w:rsid w:val="00F93C19"/>
    <w:rsid w:val="00FD67FE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92DE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87D7-001D-434B-BF49-34D20B3E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Admin</cp:lastModifiedBy>
  <cp:revision>3</cp:revision>
  <cp:lastPrinted>2024-04-11T11:46:00Z</cp:lastPrinted>
  <dcterms:created xsi:type="dcterms:W3CDTF">2024-04-11T11:46:00Z</dcterms:created>
  <dcterms:modified xsi:type="dcterms:W3CDTF">2024-04-15T13:04:00Z</dcterms:modified>
</cp:coreProperties>
</file>